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Pr>
          <w:noProof/>
          <w:lang w:eastAsia="it-IT"/>
        </w:rPr>
        <w:drawing>
          <wp:anchor distT="0" distB="0" distL="0" distR="0" simplePos="0" relativeHeight="251659264" behindDoc="0" locked="0" layoutInCell="1" allowOverlap="0" wp14:anchorId="37E5151B" wp14:editId="6A67726A">
            <wp:simplePos x="0" y="0"/>
            <wp:positionH relativeFrom="column">
              <wp:posOffset>1851660</wp:posOffset>
            </wp:positionH>
            <wp:positionV relativeFrom="line">
              <wp:posOffset>-99695</wp:posOffset>
            </wp:positionV>
            <wp:extent cx="2066925" cy="2857500"/>
            <wp:effectExtent l="0" t="0" r="9525" b="0"/>
            <wp:wrapSquare wrapText="bothSides"/>
            <wp:docPr id="1" name="Immagine 1" descr="Rita Levi Montalc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img-ritratto" descr="Rita Levi Montalcin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6925"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bookmarkStart w:id="0" w:name="_GoBack"/>
      <w:bookmarkEnd w:id="0"/>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p>
    <w:p w:rsid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b/>
          <w:color w:val="444444"/>
          <w:sz w:val="28"/>
          <w:szCs w:val="28"/>
          <w:lang w:eastAsia="it-IT"/>
        </w:rPr>
        <w:t>Rita Levi Montalcini</w:t>
      </w:r>
      <w:r w:rsidRPr="00FD0C78">
        <w:rPr>
          <w:rFonts w:ascii="Lucida Sans" w:eastAsia="Times New Roman" w:hAnsi="Lucida Sans" w:cs="Times New Roman"/>
          <w:color w:val="444444"/>
          <w:sz w:val="20"/>
          <w:szCs w:val="20"/>
          <w:lang w:eastAsia="it-IT"/>
        </w:rPr>
        <w:t xml:space="preserve"> nasce il 22 aprile del 1909 a Torino. Entrata alla scuola medica di Levi all'età di vent'anni, si laurea nel 1936. Fermamente intenzionata a proseguire la sua carriera accademica come assistente e ricercatrice in </w:t>
      </w:r>
      <w:hyperlink r:id="rId6" w:tooltip="Neurobiologia" w:history="1">
        <w:r w:rsidRPr="00FD0C78">
          <w:rPr>
            <w:rFonts w:ascii="Lucida Sans" w:eastAsia="Times New Roman" w:hAnsi="Lucida Sans" w:cs="Times New Roman"/>
            <w:color w:val="437EA3"/>
            <w:sz w:val="20"/>
            <w:szCs w:val="20"/>
            <w:u w:val="single"/>
            <w:lang w:eastAsia="it-IT"/>
          </w:rPr>
          <w:t>neurobiologia e psichiatria</w:t>
        </w:r>
      </w:hyperlink>
      <w:r w:rsidRPr="00FD0C78">
        <w:rPr>
          <w:rFonts w:ascii="Lucida Sans" w:eastAsia="Times New Roman" w:hAnsi="Lucida Sans" w:cs="Times New Roman"/>
          <w:color w:val="444444"/>
          <w:sz w:val="20"/>
          <w:szCs w:val="20"/>
          <w:lang w:eastAsia="it-IT"/>
        </w:rPr>
        <w:t>, è costretta, a causa delle leggi razziali emanate dal regime fascista nel 1938, ad emigrare in Belgio insieme a Giuseppe Levi.</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 xml:space="preserve">La passione per la sua materia comunque la sospinge e le dona la forza per andare avanti tanto che continua le sue ricerche in un laboratorio casalingo. </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 xml:space="preserve">Sono anni assai travagliati per il mondo e per l'Europa. Infuria la seconda guerra mondiale ed è assai difficile trovare luoghi dove poter stare tranquilli, figuriamoci intraprendere delle ricerche. Nel suo girovagare, nel '43 approda a Firenze, dove vivrà in clandestinità per qualche anno, prestando fra l'altro la sua collaborazione come medico volontario fra gli Alleati. Finalmente, nel '45 la guerra finisce, lasciandosi alle spalle milioni di morti e devastazioni inimmaginabili in tutti i Paesi. </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 xml:space="preserve">Dopo così lungo peregrinare senza un porto sicuro in cui rifugiarsi, Rita torna nella sua città natale (giusto poco prima dell'invasione tedesca del Belgio, riprendendo con più serenità le sue importanti ricerche insieme a Levi, sempre attraverso un laboratorio domestico. Poco dopo riceve un'offerta difficilmente rifiutabile dal Dipartimento di Zoologia della Washington </w:t>
      </w:r>
      <w:proofErr w:type="spellStart"/>
      <w:r w:rsidRPr="00FD0C78">
        <w:rPr>
          <w:rFonts w:ascii="Lucida Sans" w:eastAsia="Times New Roman" w:hAnsi="Lucida Sans" w:cs="Times New Roman"/>
          <w:color w:val="444444"/>
          <w:sz w:val="20"/>
          <w:szCs w:val="20"/>
          <w:lang w:eastAsia="it-IT"/>
        </w:rPr>
        <w:t>University</w:t>
      </w:r>
      <w:proofErr w:type="spellEnd"/>
      <w:r w:rsidRPr="00FD0C78">
        <w:rPr>
          <w:rFonts w:ascii="Lucida Sans" w:eastAsia="Times New Roman" w:hAnsi="Lucida Sans" w:cs="Times New Roman"/>
          <w:color w:val="444444"/>
          <w:sz w:val="20"/>
          <w:szCs w:val="20"/>
          <w:lang w:eastAsia="it-IT"/>
        </w:rPr>
        <w:t xml:space="preserve"> (St. Louis, Missouri). Accetta, dopo essersi però ben assicurata che potrà proseguire le stesse ricerche che aveva cominciato a Torino. La giovane Rita ancora non sa che l'America diventerà una sorta di sua seconda patria, vivendoci con incarichi prestigiosi per oltre trent'anni (diventerà professore di Neurobiologia), e precisamente fino al 1977.</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 xml:space="preserve">Ma vediamo nel dettaglio quali sono state le tappe di questa straordinaria ricerca che ah portato a risultati altrettanto straordinari. I suoi primi studi (risaliamo agli anni 1938-1944) sono dedicati ai meccanismi di formazione del sistema nervoso dei vertebrati. Nel 1951-1952 scopre il fattore di crescita nervoso noto come NGF, che gioca un ruolo essenziale nella crescita e differenziazione delle cellule nervose sensoriali e simpatiche. Per circa un trentennio prosegue le ricerche su questa molecola proteica e sul suo meccanismo d'azione, per le quali nel 1986 le viene conferito il Premio </w:t>
      </w:r>
      <w:hyperlink r:id="rId7" w:tooltip="Biografia di Alfred Nobel" w:history="1">
        <w:r w:rsidRPr="00FD0C78">
          <w:rPr>
            <w:rFonts w:ascii="Lucida Sans" w:eastAsia="Times New Roman" w:hAnsi="Lucida Sans" w:cs="Times New Roman"/>
            <w:color w:val="437EA3"/>
            <w:sz w:val="20"/>
            <w:szCs w:val="20"/>
            <w:u w:val="single"/>
            <w:lang w:eastAsia="it-IT"/>
          </w:rPr>
          <w:t>Nobel</w:t>
        </w:r>
      </w:hyperlink>
      <w:r w:rsidRPr="00FD0C78">
        <w:rPr>
          <w:rFonts w:ascii="Lucida Sans" w:eastAsia="Times New Roman" w:hAnsi="Lucida Sans" w:cs="Times New Roman"/>
          <w:color w:val="444444"/>
          <w:sz w:val="20"/>
          <w:szCs w:val="20"/>
          <w:lang w:eastAsia="it-IT"/>
        </w:rPr>
        <w:t xml:space="preserve"> per la Medicina (con </w:t>
      </w:r>
      <w:hyperlink r:id="rId8" w:history="1">
        <w:r w:rsidRPr="00FD0C78">
          <w:rPr>
            <w:rFonts w:ascii="Lucida Sans" w:eastAsia="Times New Roman" w:hAnsi="Lucida Sans" w:cs="Times New Roman"/>
            <w:color w:val="437EA3"/>
            <w:sz w:val="20"/>
            <w:szCs w:val="20"/>
            <w:u w:val="single"/>
            <w:lang w:eastAsia="it-IT"/>
          </w:rPr>
          <w:t>Stanley Cohen</w:t>
        </w:r>
      </w:hyperlink>
      <w:r w:rsidRPr="00FD0C78">
        <w:rPr>
          <w:rFonts w:ascii="Lucida Sans" w:eastAsia="Times New Roman" w:hAnsi="Lucida Sans" w:cs="Times New Roman"/>
          <w:color w:val="444444"/>
          <w:sz w:val="20"/>
          <w:szCs w:val="20"/>
          <w:lang w:eastAsia="it-IT"/>
        </w:rPr>
        <w:t xml:space="preserve">). Nella motivazione del Premio si legge: "La scoperta del NGF all'inizio degli anni '50 è un esempio affascinante di come un osservatore acuto possa estrarre </w:t>
      </w:r>
      <w:r w:rsidRPr="00FD0C78">
        <w:rPr>
          <w:rFonts w:ascii="Lucida Sans" w:eastAsia="Times New Roman" w:hAnsi="Lucida Sans" w:cs="Times New Roman"/>
          <w:color w:val="444444"/>
          <w:sz w:val="20"/>
          <w:szCs w:val="20"/>
          <w:lang w:eastAsia="it-IT"/>
        </w:rPr>
        <w:lastRenderedPageBreak/>
        <w:t>ipotesi valide da un apparente caos. In precedenza i neurobiologi non avevano idea di quali processi intervenissero nella corretta innervazione degli organi e tessuti dell'organismo".</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 xml:space="preserve">Dal 1961 al 1969 dirige il Centro di Ricerche di Neurobiologia del Consiglio Nazionale delle Ricerche (Roma) in collaborazione con l'Istituto di Biologia della Washington </w:t>
      </w:r>
      <w:proofErr w:type="spellStart"/>
      <w:r w:rsidRPr="00FD0C78">
        <w:rPr>
          <w:rFonts w:ascii="Lucida Sans" w:eastAsia="Times New Roman" w:hAnsi="Lucida Sans" w:cs="Times New Roman"/>
          <w:color w:val="444444"/>
          <w:sz w:val="20"/>
          <w:szCs w:val="20"/>
          <w:lang w:eastAsia="it-IT"/>
        </w:rPr>
        <w:t>University</w:t>
      </w:r>
      <w:proofErr w:type="spellEnd"/>
      <w:r w:rsidRPr="00FD0C78">
        <w:rPr>
          <w:rFonts w:ascii="Lucida Sans" w:eastAsia="Times New Roman" w:hAnsi="Lucida Sans" w:cs="Times New Roman"/>
          <w:color w:val="444444"/>
          <w:sz w:val="20"/>
          <w:szCs w:val="20"/>
          <w:lang w:eastAsia="it-IT"/>
        </w:rPr>
        <w:t>, e dal 1969 al 1979 il Laboratorio di Biologia cellulare. Dopo essersi ritirata da questo incarico "per raggiunti limiti d'età" continua le sue ricerche come ricercatore e guest professor dal 1979 al 1989, e dal 1989 al 1995 lavora presso l'Istituto di Neurobiologia del CNR con la qualifica di Superesperto. Le sue indagini si concentrano sullo spettro di azione del NGF, utilizzando tecniche sempre più sofisticate. Studi recenti hanno infatti dimostrato che esso ha un'attività ben più ampia di quanto si pensasse: non si limita ai neuroni sensori e simpatici, ma si estende anche alle cellule del sistema nervoso centrale, del sistema immunitario ematopoietico e alle cellule coinvolte nelle funzioni neuroendocrine.</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 xml:space="preserve">Dal 1993 al 1998 presiede l'Istituto dell'Enciclopedia Italiana. È membro delle più prestigiose accademie scientifiche internazionali, quali l'Accademia Nazionale dei Lincei, l'Accademia Pontificia, l'Accademia delle Scienze detta dei XL, la National Academy of </w:t>
      </w:r>
      <w:proofErr w:type="spellStart"/>
      <w:r w:rsidRPr="00FD0C78">
        <w:rPr>
          <w:rFonts w:ascii="Lucida Sans" w:eastAsia="Times New Roman" w:hAnsi="Lucida Sans" w:cs="Times New Roman"/>
          <w:color w:val="444444"/>
          <w:sz w:val="20"/>
          <w:szCs w:val="20"/>
          <w:lang w:eastAsia="it-IT"/>
        </w:rPr>
        <w:t>Sciences</w:t>
      </w:r>
      <w:proofErr w:type="spellEnd"/>
      <w:r w:rsidRPr="00FD0C78">
        <w:rPr>
          <w:rFonts w:ascii="Lucida Sans" w:eastAsia="Times New Roman" w:hAnsi="Lucida Sans" w:cs="Times New Roman"/>
          <w:color w:val="444444"/>
          <w:sz w:val="20"/>
          <w:szCs w:val="20"/>
          <w:lang w:eastAsia="it-IT"/>
        </w:rPr>
        <w:t xml:space="preserve"> statunitense e la </w:t>
      </w:r>
      <w:hyperlink r:id="rId9" w:tooltip="Royal Society" w:history="1">
        <w:proofErr w:type="spellStart"/>
        <w:r w:rsidRPr="00FD0C78">
          <w:rPr>
            <w:rFonts w:ascii="Lucida Sans" w:eastAsia="Times New Roman" w:hAnsi="Lucida Sans" w:cs="Times New Roman"/>
            <w:color w:val="437EA3"/>
            <w:sz w:val="20"/>
            <w:szCs w:val="20"/>
            <w:u w:val="single"/>
            <w:lang w:eastAsia="it-IT"/>
          </w:rPr>
          <w:t>Royal</w:t>
        </w:r>
        <w:proofErr w:type="spellEnd"/>
        <w:r w:rsidRPr="00FD0C78">
          <w:rPr>
            <w:rFonts w:ascii="Lucida Sans" w:eastAsia="Times New Roman" w:hAnsi="Lucida Sans" w:cs="Times New Roman"/>
            <w:color w:val="437EA3"/>
            <w:sz w:val="20"/>
            <w:szCs w:val="20"/>
            <w:u w:val="single"/>
            <w:lang w:eastAsia="it-IT"/>
          </w:rPr>
          <w:t xml:space="preserve"> Society</w:t>
        </w:r>
      </w:hyperlink>
      <w:r w:rsidRPr="00FD0C78">
        <w:rPr>
          <w:rFonts w:ascii="Lucida Sans" w:eastAsia="Times New Roman" w:hAnsi="Lucida Sans" w:cs="Times New Roman"/>
          <w:color w:val="444444"/>
          <w:sz w:val="20"/>
          <w:szCs w:val="20"/>
          <w:lang w:eastAsia="it-IT"/>
        </w:rPr>
        <w:t>.</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È inoltre da sempre molto attiva in campagne di interesse sociale, per esempio contro le mine anti-uomo o per la responsabilità degli scienziati nei confronti della società. Nel 1992 istituisce, assieme alla sorella gemella Paola, la Fondazione Levi Montalcini, in memoria del padre, rivolta alla formazione e all'educazione dei giovani, nonché al conferimento di borse di studio a giovani studentesse africane a livello universitario. L'obiettivo è quello di creare una classe di giovani donne che svolgano un ruolo di leadership nella vita scientifica e sociale del loro paese.</w:t>
      </w:r>
    </w:p>
    <w:p w:rsidR="00FD0C78" w:rsidRPr="00FD0C78" w:rsidRDefault="00FD0C78" w:rsidP="00FD0C78">
      <w:pPr>
        <w:shd w:val="clear" w:color="auto" w:fill="FFFFFF"/>
        <w:spacing w:after="300" w:line="270" w:lineRule="atLeast"/>
        <w:jc w:val="both"/>
        <w:rPr>
          <w:rFonts w:ascii="Lucida Sans" w:eastAsia="Times New Roman" w:hAnsi="Lucida Sans" w:cs="Times New Roman"/>
          <w:color w:val="444444"/>
          <w:sz w:val="20"/>
          <w:szCs w:val="20"/>
          <w:lang w:eastAsia="it-IT"/>
        </w:rPr>
      </w:pPr>
      <w:r w:rsidRPr="00FD0C78">
        <w:rPr>
          <w:rFonts w:ascii="Lucida Sans" w:eastAsia="Times New Roman" w:hAnsi="Lucida Sans" w:cs="Times New Roman"/>
          <w:color w:val="444444"/>
          <w:sz w:val="20"/>
          <w:szCs w:val="20"/>
          <w:lang w:eastAsia="it-IT"/>
        </w:rPr>
        <w:t>In data 22 gennaio 2008 l'Università di Milano Bicocca le ha assegnato la laurea honoris causa in biotecnologie industriali</w:t>
      </w:r>
    </w:p>
    <w:p w:rsidR="000168A0" w:rsidRDefault="000168A0"/>
    <w:sectPr w:rsidR="000168A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C78"/>
    <w:rsid w:val="000168A0"/>
    <w:rsid w:val="00FD0C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17013">
      <w:bodyDiv w:val="1"/>
      <w:marLeft w:val="0"/>
      <w:marRight w:val="0"/>
      <w:marTop w:val="0"/>
      <w:marBottom w:val="0"/>
      <w:divBdr>
        <w:top w:val="none" w:sz="0" w:space="0" w:color="auto"/>
        <w:left w:val="none" w:sz="0" w:space="0" w:color="auto"/>
        <w:bottom w:val="none" w:sz="0" w:space="0" w:color="auto"/>
        <w:right w:val="none" w:sz="0" w:space="0" w:color="auto"/>
      </w:divBdr>
      <w:divsChild>
        <w:div w:id="1787384357">
          <w:marLeft w:val="0"/>
          <w:marRight w:val="0"/>
          <w:marTop w:val="0"/>
          <w:marBottom w:val="0"/>
          <w:divBdr>
            <w:top w:val="none" w:sz="0" w:space="0" w:color="auto"/>
            <w:left w:val="none" w:sz="0" w:space="0" w:color="auto"/>
            <w:bottom w:val="none" w:sz="0" w:space="0" w:color="auto"/>
            <w:right w:val="none" w:sz="0" w:space="0" w:color="auto"/>
          </w:divBdr>
          <w:divsChild>
            <w:div w:id="353774741">
              <w:marLeft w:val="0"/>
              <w:marRight w:val="0"/>
              <w:marTop w:val="0"/>
              <w:marBottom w:val="0"/>
              <w:divBdr>
                <w:top w:val="none" w:sz="0" w:space="0" w:color="auto"/>
                <w:left w:val="none" w:sz="0" w:space="0" w:color="auto"/>
                <w:bottom w:val="none" w:sz="0" w:space="0" w:color="auto"/>
                <w:right w:val="none" w:sz="0" w:space="0" w:color="auto"/>
              </w:divBdr>
              <w:divsChild>
                <w:div w:id="140761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51450">
      <w:bodyDiv w:val="1"/>
      <w:marLeft w:val="0"/>
      <w:marRight w:val="0"/>
      <w:marTop w:val="0"/>
      <w:marBottom w:val="0"/>
      <w:divBdr>
        <w:top w:val="none" w:sz="0" w:space="0" w:color="auto"/>
        <w:left w:val="none" w:sz="0" w:space="0" w:color="auto"/>
        <w:bottom w:val="none" w:sz="0" w:space="0" w:color="auto"/>
        <w:right w:val="none" w:sz="0" w:space="0" w:color="auto"/>
      </w:divBdr>
      <w:divsChild>
        <w:div w:id="1463769087">
          <w:marLeft w:val="0"/>
          <w:marRight w:val="0"/>
          <w:marTop w:val="0"/>
          <w:marBottom w:val="0"/>
          <w:divBdr>
            <w:top w:val="none" w:sz="0" w:space="0" w:color="auto"/>
            <w:left w:val="none" w:sz="0" w:space="0" w:color="auto"/>
            <w:bottom w:val="none" w:sz="0" w:space="0" w:color="auto"/>
            <w:right w:val="none" w:sz="0" w:space="0" w:color="auto"/>
          </w:divBdr>
          <w:divsChild>
            <w:div w:id="289291023">
              <w:marLeft w:val="0"/>
              <w:marRight w:val="0"/>
              <w:marTop w:val="0"/>
              <w:marBottom w:val="0"/>
              <w:divBdr>
                <w:top w:val="none" w:sz="0" w:space="0" w:color="auto"/>
                <w:left w:val="none" w:sz="0" w:space="0" w:color="auto"/>
                <w:bottom w:val="none" w:sz="0" w:space="0" w:color="auto"/>
                <w:right w:val="none" w:sz="0" w:space="0" w:color="auto"/>
              </w:divBdr>
              <w:divsChild>
                <w:div w:id="970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grafieonline.it/biografia.htm?BioID=1889&amp;biografia=Stanley+Cohen" TargetMode="External"/><Relationship Id="rId3" Type="http://schemas.openxmlformats.org/officeDocument/2006/relationships/settings" Target="settings.xml"/><Relationship Id="rId7" Type="http://schemas.openxmlformats.org/officeDocument/2006/relationships/hyperlink" Target="http://biografieonline.it/biografia.htm?BioID=685&amp;biografia=Alfred%20Nobe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fofarma.it/professione-medica.htm?q=neurologia+e+psichiatria+-+neurologi+e+psichiatri"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ultura.biografieonline.it/breve-storia-della-royal-societ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766</Words>
  <Characters>4370</Characters>
  <Application>Microsoft Office Word</Application>
  <DocSecurity>0</DocSecurity>
  <Lines>36</Lines>
  <Paragraphs>10</Paragraphs>
  <ScaleCrop>false</ScaleCrop>
  <Company>MTM</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2012-11-12T13:01:00Z</dcterms:created>
  <dcterms:modified xsi:type="dcterms:W3CDTF">2012-11-12T13:06:00Z</dcterms:modified>
</cp:coreProperties>
</file>